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85"/>
        <w:tblW w:w="10465" w:type="dxa"/>
        <w:tblLayout w:type="fixed"/>
        <w:tblLook w:val="0000"/>
      </w:tblPr>
      <w:tblGrid>
        <w:gridCol w:w="4813"/>
        <w:gridCol w:w="1922"/>
        <w:gridCol w:w="3730"/>
      </w:tblGrid>
      <w:tr w:rsidR="0033251C" w:rsidRPr="00EB0F30" w:rsidTr="00D45846">
        <w:trPr>
          <w:cantSplit/>
          <w:trHeight w:val="1055"/>
        </w:trPr>
        <w:tc>
          <w:tcPr>
            <w:tcW w:w="4813" w:type="dxa"/>
          </w:tcPr>
          <w:p w:rsidR="0059039E" w:rsidRPr="00B85E22" w:rsidRDefault="0059039E" w:rsidP="00D458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85E22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25400</wp:posOffset>
                  </wp:positionV>
                  <wp:extent cx="759460" cy="809625"/>
                  <wp:effectExtent l="19050" t="0" r="2540" b="0"/>
                  <wp:wrapSquare wrapText="bothSides"/>
                  <wp:docPr id="4" name="Picture 1" descr="ds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5E22">
              <w:rPr>
                <w:rFonts w:ascii="Verdana" w:hAnsi="Verdana"/>
                <w:sz w:val="18"/>
                <w:szCs w:val="18"/>
                <w:lang w:eastAsia="en-US"/>
              </w:rPr>
              <w:t>ΥΠΟΥΡΓΕΙΟ ΔΙΚΑΙΟΣΥΝΗΣ ΔΙΑΦΑΝΕΙΑΣ ΚΑΙ ΑΝΘΡΩΠΙΝΩΝ ΔΙΚΑΙΩΜΑΤΩΝ</w:t>
            </w:r>
          </w:p>
          <w:p w:rsidR="0033251C" w:rsidRPr="0059039E" w:rsidRDefault="0033251C" w:rsidP="00D45846">
            <w:pPr>
              <w:spacing w:after="0" w:line="240" w:lineRule="auto"/>
              <w:ind w:left="45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59039E">
              <w:rPr>
                <w:rFonts w:ascii="Verdana" w:hAnsi="Verdana"/>
                <w:b/>
                <w:sz w:val="20"/>
                <w:lang w:eastAsia="en-US"/>
              </w:rPr>
              <w:t>ΔΙΚΗΓΟΡΙΚΟΣ ΣΥΛΛΟΓΟΣ</w:t>
            </w:r>
            <w:r w:rsidRPr="0059039E">
              <w:rPr>
                <w:rFonts w:ascii="Verdana" w:hAnsi="Verdana"/>
                <w:b/>
                <w:sz w:val="20"/>
                <w:lang w:val="en-US" w:eastAsia="en-US"/>
              </w:rPr>
              <w:t xml:space="preserve"> </w:t>
            </w:r>
            <w:r w:rsidRPr="0059039E">
              <w:rPr>
                <w:rFonts w:ascii="Verdana" w:hAnsi="Verdana"/>
                <w:b/>
                <w:sz w:val="20"/>
                <w:lang w:eastAsia="en-US"/>
              </w:rPr>
              <w:t>ΘΕΣΣΑΛΟΝΙΚΗΣ</w:t>
            </w:r>
          </w:p>
        </w:tc>
        <w:tc>
          <w:tcPr>
            <w:tcW w:w="1922" w:type="dxa"/>
          </w:tcPr>
          <w:p w:rsidR="0033251C" w:rsidRPr="00EB0F30" w:rsidRDefault="0033251C" w:rsidP="00D45846">
            <w:pPr>
              <w:spacing w:after="0" w:line="240" w:lineRule="auto"/>
              <w:rPr>
                <w:rFonts w:ascii="Verdana" w:hAnsi="Verdana"/>
                <w:b/>
                <w:sz w:val="20"/>
                <w:szCs w:val="24"/>
                <w:lang w:eastAsia="en-US"/>
              </w:rPr>
            </w:pPr>
          </w:p>
        </w:tc>
        <w:tc>
          <w:tcPr>
            <w:tcW w:w="3730" w:type="dxa"/>
          </w:tcPr>
          <w:p w:rsidR="0033251C" w:rsidRPr="002B7574" w:rsidRDefault="0033251C" w:rsidP="00D45846">
            <w:pPr>
              <w:spacing w:after="0" w:line="240" w:lineRule="auto"/>
              <w:rPr>
                <w:rFonts w:ascii="Verdana" w:hAnsi="Verdana"/>
                <w:sz w:val="20"/>
                <w:szCs w:val="24"/>
                <w:lang w:eastAsia="en-US"/>
              </w:rPr>
            </w:pPr>
          </w:p>
        </w:tc>
      </w:tr>
      <w:tr w:rsidR="0033251C" w:rsidRPr="0081463E" w:rsidTr="00D45846">
        <w:trPr>
          <w:cantSplit/>
          <w:trHeight w:val="384"/>
        </w:trPr>
        <w:tc>
          <w:tcPr>
            <w:tcW w:w="4813" w:type="dxa"/>
          </w:tcPr>
          <w:p w:rsidR="0033251C" w:rsidRPr="00B85E22" w:rsidRDefault="0033251C" w:rsidP="00D45846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922" w:type="dxa"/>
          </w:tcPr>
          <w:p w:rsidR="0033251C" w:rsidRPr="0081463E" w:rsidRDefault="0033251C" w:rsidP="00D45846">
            <w:pPr>
              <w:spacing w:after="0" w:line="240" w:lineRule="auto"/>
              <w:rPr>
                <w:rFonts w:ascii="Verdana" w:hAnsi="Verdana"/>
                <w:sz w:val="20"/>
                <w:szCs w:val="24"/>
                <w:lang w:eastAsia="en-US"/>
              </w:rPr>
            </w:pPr>
          </w:p>
        </w:tc>
        <w:tc>
          <w:tcPr>
            <w:tcW w:w="3730" w:type="dxa"/>
          </w:tcPr>
          <w:p w:rsidR="0033251C" w:rsidRPr="0081463E" w:rsidRDefault="008D524C" w:rsidP="008D524C">
            <w:pPr>
              <w:spacing w:after="0" w:line="240" w:lineRule="auto"/>
              <w:rPr>
                <w:rFonts w:ascii="Verdana" w:hAnsi="Verdana"/>
                <w:sz w:val="20"/>
                <w:szCs w:val="24"/>
                <w:lang w:eastAsia="en-US"/>
              </w:rPr>
            </w:pPr>
            <w:r>
              <w:rPr>
                <w:rFonts w:ascii="Verdana" w:hAnsi="Verdana"/>
                <w:sz w:val="20"/>
                <w:szCs w:val="24"/>
                <w:lang w:eastAsia="en-US"/>
              </w:rPr>
              <w:t>Θεσσαλονίκη 19.01.2018</w:t>
            </w:r>
          </w:p>
        </w:tc>
      </w:tr>
      <w:tr w:rsidR="0033251C" w:rsidRPr="0081463E" w:rsidTr="00D45846">
        <w:trPr>
          <w:cantSplit/>
          <w:trHeight w:val="204"/>
        </w:trPr>
        <w:tc>
          <w:tcPr>
            <w:tcW w:w="4813" w:type="dxa"/>
          </w:tcPr>
          <w:p w:rsidR="0033251C" w:rsidRPr="0081463E" w:rsidRDefault="0033251C" w:rsidP="00D45846">
            <w:pPr>
              <w:spacing w:after="0" w:line="240" w:lineRule="auto"/>
              <w:rPr>
                <w:rFonts w:ascii="Verdana" w:hAnsi="Verdana"/>
                <w:sz w:val="20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33251C" w:rsidRPr="0081463E" w:rsidRDefault="0033251C" w:rsidP="00D45846">
            <w:pPr>
              <w:spacing w:after="0" w:line="240" w:lineRule="auto"/>
              <w:rPr>
                <w:rFonts w:ascii="Verdana" w:hAnsi="Verdana"/>
                <w:sz w:val="20"/>
                <w:szCs w:val="24"/>
                <w:lang w:eastAsia="en-US"/>
              </w:rPr>
            </w:pPr>
          </w:p>
        </w:tc>
        <w:tc>
          <w:tcPr>
            <w:tcW w:w="3730" w:type="dxa"/>
          </w:tcPr>
          <w:p w:rsidR="0033251C" w:rsidRPr="00B916CC" w:rsidRDefault="0033251C" w:rsidP="00D45846">
            <w:pPr>
              <w:spacing w:after="0" w:line="240" w:lineRule="auto"/>
              <w:rPr>
                <w:rFonts w:ascii="Verdana" w:hAnsi="Verdana"/>
                <w:b/>
                <w:sz w:val="20"/>
                <w:szCs w:val="24"/>
                <w:lang w:eastAsia="en-US"/>
              </w:rPr>
            </w:pPr>
          </w:p>
        </w:tc>
      </w:tr>
      <w:tr w:rsidR="0033251C" w:rsidRPr="0081463E" w:rsidTr="00D45846">
        <w:trPr>
          <w:cantSplit/>
          <w:trHeight w:val="192"/>
        </w:trPr>
        <w:tc>
          <w:tcPr>
            <w:tcW w:w="4813" w:type="dxa"/>
          </w:tcPr>
          <w:p w:rsidR="0033251C" w:rsidRPr="0081463E" w:rsidRDefault="0033251C" w:rsidP="00D45846">
            <w:pPr>
              <w:spacing w:after="0" w:line="240" w:lineRule="auto"/>
              <w:rPr>
                <w:rFonts w:ascii="Verdana" w:hAnsi="Verdana"/>
                <w:sz w:val="20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33251C" w:rsidRPr="0081463E" w:rsidRDefault="0033251C" w:rsidP="00D45846">
            <w:pPr>
              <w:spacing w:after="0" w:line="240" w:lineRule="auto"/>
              <w:rPr>
                <w:rFonts w:ascii="Verdana" w:hAnsi="Verdana"/>
                <w:sz w:val="20"/>
                <w:szCs w:val="24"/>
                <w:lang w:eastAsia="en-US"/>
              </w:rPr>
            </w:pPr>
          </w:p>
        </w:tc>
        <w:tc>
          <w:tcPr>
            <w:tcW w:w="3730" w:type="dxa"/>
          </w:tcPr>
          <w:p w:rsidR="0033251C" w:rsidRPr="0081463E" w:rsidRDefault="0033251C" w:rsidP="00D45846">
            <w:pPr>
              <w:spacing w:after="0" w:line="240" w:lineRule="auto"/>
              <w:rPr>
                <w:rFonts w:ascii="Verdana" w:hAnsi="Verdana"/>
                <w:sz w:val="20"/>
                <w:szCs w:val="24"/>
                <w:lang w:eastAsia="en-US"/>
              </w:rPr>
            </w:pPr>
          </w:p>
        </w:tc>
      </w:tr>
      <w:tr w:rsidR="0033251C" w:rsidRPr="0081463E" w:rsidTr="00D45846">
        <w:trPr>
          <w:cantSplit/>
          <w:trHeight w:val="192"/>
        </w:trPr>
        <w:tc>
          <w:tcPr>
            <w:tcW w:w="4813" w:type="dxa"/>
          </w:tcPr>
          <w:p w:rsidR="0033251C" w:rsidRPr="0081463E" w:rsidRDefault="0033251C" w:rsidP="00D45846">
            <w:pPr>
              <w:spacing w:after="0" w:line="240" w:lineRule="auto"/>
              <w:rPr>
                <w:rFonts w:ascii="Verdana" w:hAnsi="Verdana"/>
                <w:sz w:val="20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33251C" w:rsidRPr="0081463E" w:rsidRDefault="0033251C" w:rsidP="00D45846">
            <w:pPr>
              <w:spacing w:after="0" w:line="240" w:lineRule="auto"/>
              <w:rPr>
                <w:rFonts w:ascii="Verdana" w:hAnsi="Verdana"/>
                <w:sz w:val="20"/>
                <w:szCs w:val="24"/>
                <w:lang w:eastAsia="en-US"/>
              </w:rPr>
            </w:pPr>
          </w:p>
        </w:tc>
        <w:tc>
          <w:tcPr>
            <w:tcW w:w="3730" w:type="dxa"/>
          </w:tcPr>
          <w:p w:rsidR="0033251C" w:rsidRPr="0081463E" w:rsidRDefault="0033251C" w:rsidP="00D45846">
            <w:pPr>
              <w:spacing w:after="0" w:line="240" w:lineRule="auto"/>
              <w:rPr>
                <w:rFonts w:ascii="Verdana" w:hAnsi="Verdana"/>
                <w:sz w:val="20"/>
                <w:szCs w:val="24"/>
                <w:lang w:eastAsia="en-US"/>
              </w:rPr>
            </w:pPr>
          </w:p>
        </w:tc>
      </w:tr>
      <w:tr w:rsidR="0033251C" w:rsidRPr="0081463E" w:rsidTr="00D45846">
        <w:trPr>
          <w:cantSplit/>
          <w:trHeight w:val="192"/>
        </w:trPr>
        <w:tc>
          <w:tcPr>
            <w:tcW w:w="4813" w:type="dxa"/>
          </w:tcPr>
          <w:p w:rsidR="0033251C" w:rsidRPr="00B916CC" w:rsidRDefault="0033251C" w:rsidP="00D45846">
            <w:pPr>
              <w:spacing w:after="0" w:line="240" w:lineRule="auto"/>
              <w:rPr>
                <w:rFonts w:ascii="Verdana" w:hAnsi="Verdana"/>
                <w:sz w:val="20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33251C" w:rsidRPr="0081463E" w:rsidRDefault="0033251C" w:rsidP="00D45846">
            <w:pPr>
              <w:spacing w:after="0" w:line="240" w:lineRule="auto"/>
              <w:rPr>
                <w:rFonts w:ascii="Verdana" w:hAnsi="Verdana"/>
                <w:sz w:val="20"/>
                <w:szCs w:val="24"/>
                <w:lang w:eastAsia="en-US"/>
              </w:rPr>
            </w:pPr>
          </w:p>
        </w:tc>
        <w:tc>
          <w:tcPr>
            <w:tcW w:w="3730" w:type="dxa"/>
          </w:tcPr>
          <w:p w:rsidR="0033251C" w:rsidRPr="0081463E" w:rsidRDefault="0033251C" w:rsidP="00D45846">
            <w:pPr>
              <w:spacing w:after="0" w:line="240" w:lineRule="auto"/>
              <w:rPr>
                <w:rFonts w:ascii="Verdana" w:hAnsi="Verdana"/>
                <w:sz w:val="20"/>
                <w:szCs w:val="24"/>
                <w:lang w:eastAsia="en-US"/>
              </w:rPr>
            </w:pPr>
          </w:p>
        </w:tc>
      </w:tr>
    </w:tbl>
    <w:p w:rsidR="008D524C" w:rsidRDefault="008D524C" w:rsidP="008D524C">
      <w:pPr>
        <w:pStyle w:val="Web"/>
        <w:shd w:val="clear" w:color="auto" w:fill="EFEFEF"/>
        <w:spacing w:line="384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Πρόσφατα  και προκειμένου να καθοριστούν οι λεπτομέρειες για την αποπληρωμή των οφειλών προς τους </w:t>
      </w:r>
      <w:r>
        <w:rPr>
          <w:rStyle w:val="a6"/>
          <w:color w:val="000000"/>
        </w:rPr>
        <w:t xml:space="preserve">Φορείς Κοινωνικής Ασφάλισης </w:t>
      </w:r>
      <w:r>
        <w:rPr>
          <w:rFonts w:ascii="Tahoma" w:hAnsi="Tahoma" w:cs="Tahoma"/>
          <w:color w:val="000000"/>
        </w:rPr>
        <w:t xml:space="preserve">των οφειλετών που εξαιρούνται από το πεδίο εφαρμογής του 4469/2017 </w:t>
      </w:r>
      <w:r>
        <w:rPr>
          <w:rStyle w:val="a6"/>
          <w:color w:val="000000"/>
        </w:rPr>
        <w:t>εκδόθηκε η ΥΑ 62134/4100 (ΦΕΚ Β 4640/29.12.2017).</w:t>
      </w:r>
    </w:p>
    <w:p w:rsidR="008D524C" w:rsidRDefault="008D524C" w:rsidP="008D524C">
      <w:pPr>
        <w:pStyle w:val="Web"/>
        <w:spacing w:line="384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Style w:val="a6"/>
          <w:color w:val="000000"/>
        </w:rPr>
        <w:t xml:space="preserve">Η απόφαση αυτή αφορά οφειλές προς του Φορείς Κοινωνικής Ασφάλισης  ως 50.000€ και απευθύνεται ακριβώς σε όσους </w:t>
      </w:r>
      <w:r>
        <w:rPr>
          <w:rStyle w:val="a6"/>
          <w:color w:val="000000"/>
          <w:u w:val="single"/>
        </w:rPr>
        <w:t>δεν δύνανται να υπαχθούν στις διατάξεις του ν.4469/2017 (εξωδικαστικός μηχανισμός ρύθμισης οφειλών επιχειρήσεων)</w:t>
      </w:r>
      <w:r>
        <w:rPr>
          <w:rStyle w:val="a6"/>
          <w:color w:val="000000"/>
        </w:rPr>
        <w:t xml:space="preserve">. </w:t>
      </w:r>
    </w:p>
    <w:p w:rsidR="008D524C" w:rsidRDefault="008D524C" w:rsidP="008D524C">
      <w:pPr>
        <w:pStyle w:val="Web"/>
        <w:spacing w:line="384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Style w:val="a6"/>
          <w:color w:val="000000"/>
        </w:rPr>
        <w:t>Συγκεκριμένα αφορά:</w:t>
      </w:r>
    </w:p>
    <w:p w:rsidR="008D524C" w:rsidRDefault="008D524C" w:rsidP="008D524C">
      <w:pPr>
        <w:pStyle w:val="Web"/>
        <w:spacing w:line="384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Style w:val="a6"/>
          <w:color w:val="000000"/>
        </w:rPr>
        <w:t>Α. πρόσωπα που έχουν μεν την πτωχευτική ικανότητα αλλά είτε  οι  συνολικές οφειλές τους(  προς όλους τους πιστωτές τους , συμπεριλαμβανομένων των ΦΚΑ)  είναι λιγότερες από 20.000€( όριο υπαγωγής στον ν.4469/2017) είτε ο ΦΚΑ συγκεντρώνει πάνω από το 85% των οφειλών (όρος που επίσης αποκλείει την υπαγωγή της διαφοράς στον ν.4469/2017 παραπέμποντας την σε διμερή διαπραγμάτευση).</w:t>
      </w:r>
    </w:p>
    <w:p w:rsidR="008D524C" w:rsidRDefault="008D524C" w:rsidP="008D524C">
      <w:pPr>
        <w:pStyle w:val="Web"/>
        <w:spacing w:line="384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Style w:val="a6"/>
          <w:color w:val="000000"/>
        </w:rPr>
        <w:t xml:space="preserve">Β. πρόσωπα που αποκτούν εισόδημα από επιχειρηματική δραστηριότητα αλλά δεν έχουν πτωχευτική ικανότητα </w:t>
      </w:r>
      <w:bookmarkStart w:id="0" w:name="_GoBack"/>
      <w:bookmarkEnd w:id="0"/>
      <w:r>
        <w:rPr>
          <w:rStyle w:val="a6"/>
          <w:color w:val="000000"/>
          <w:highlight w:val="yellow"/>
        </w:rPr>
        <w:t>(όπως οι Δικηγόροι)</w:t>
      </w:r>
      <w:r>
        <w:rPr>
          <w:rStyle w:val="a6"/>
          <w:color w:val="000000"/>
        </w:rPr>
        <w:t xml:space="preserve">  με οφειλές προς τους Φ.Κ.Α ως 50.000€( δεν αφορά άλλες οφειλές – οι συγκεκριμένες οφειλές προς του ΦΚΑ ως 50.000€ ρυθμίζονται έστω και αν υπάρχουν και άλλες οφειλές προς τρίτους).</w:t>
      </w:r>
    </w:p>
    <w:p w:rsidR="008D524C" w:rsidRDefault="008D524C" w:rsidP="008D524C">
      <w:pPr>
        <w:pStyle w:val="Web"/>
        <w:spacing w:line="384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u w:val="single"/>
        </w:rPr>
        <w:t xml:space="preserve">Και για τις δύο περιπτώσεις οφειλετών απαραίτητη προϋπόθεση υπαγωγής είναι η πλήρωση των γνωστών κριτηρίων </w:t>
      </w:r>
      <w:proofErr w:type="spellStart"/>
      <w:r>
        <w:rPr>
          <w:rFonts w:ascii="Tahoma" w:hAnsi="Tahoma" w:cs="Tahoma"/>
          <w:color w:val="000000"/>
          <w:u w:val="single"/>
        </w:rPr>
        <w:t>επιλεξιμότητας</w:t>
      </w:r>
      <w:proofErr w:type="spellEnd"/>
      <w:r>
        <w:rPr>
          <w:rFonts w:ascii="Tahoma" w:hAnsi="Tahoma" w:cs="Tahoma"/>
          <w:color w:val="000000"/>
          <w:u w:val="single"/>
        </w:rPr>
        <w:t xml:space="preserve"> του άρθρου 3 του ν. 4469/2017 δηλαδή   ο</w:t>
      </w:r>
      <w:r>
        <w:rPr>
          <w:rFonts w:ascii="Tahoma" w:hAnsi="Tahoma" w:cs="Tahoma"/>
          <w:color w:val="000000"/>
        </w:rPr>
        <w:t xml:space="preserve"> οφειλέτης που τηρεί απλογραφικό λογιστικό σύστημα, δηλαδή βιβλία </w:t>
      </w:r>
      <w:proofErr w:type="spellStart"/>
      <w:r>
        <w:rPr>
          <w:rFonts w:ascii="Tahoma" w:hAnsi="Tahoma" w:cs="Tahoma"/>
          <w:color w:val="000000"/>
        </w:rPr>
        <w:t>Β΄κατηγορίας</w:t>
      </w:r>
      <w:proofErr w:type="spellEnd"/>
      <w:r>
        <w:rPr>
          <w:rFonts w:ascii="Tahoma" w:hAnsi="Tahoma" w:cs="Tahoma"/>
          <w:color w:val="000000"/>
        </w:rPr>
        <w:t xml:space="preserve"> , μπορεί να υποβάλει αίτηση </w:t>
      </w:r>
      <w:r>
        <w:rPr>
          <w:rFonts w:ascii="Tahoma" w:hAnsi="Tahoma" w:cs="Tahoma"/>
          <w:color w:val="000000"/>
          <w:u w:val="single"/>
        </w:rPr>
        <w:t>μόνο εφόσον έχει θετικό καθαρό αποτέλεσμα προ φόρων, τόκων και αποσβέσεων σε μία τουλάχιστον από τις τελευταίες τρεις χρήσεις πριν από την υποβολή της αίτησης του  </w:t>
      </w:r>
      <w:r>
        <w:rPr>
          <w:rFonts w:ascii="Tahoma" w:hAnsi="Tahoma" w:cs="Tahoma"/>
          <w:color w:val="000000"/>
        </w:rPr>
        <w:t xml:space="preserve"> ενώ για  τον οφειλέτη που τηρεί διπλογραφικό λογιστικό σύστημα, δηλαδή βιβλία Γ κατηγορίας απαιτείται να πληροί μία από τις παρακάτω προϋποθέσεις σε μία τουλάχιστον από τις τελευταίες τρεις χρήσεις πριν από την υποβολή της αίτησης του :   α) έχει θετικά αποτελέσματα προ τόκων, φόρων και αποσβέσεων ή β) έχει θετική καθαρή θέση (</w:t>
      </w:r>
      <w:proofErr w:type="spellStart"/>
      <w:r>
        <w:rPr>
          <w:rFonts w:ascii="Tahoma" w:hAnsi="Tahoma" w:cs="Tahoma"/>
          <w:color w:val="000000"/>
        </w:rPr>
        <w:t>equity</w:t>
      </w:r>
      <w:proofErr w:type="spellEnd"/>
      <w:r>
        <w:rPr>
          <w:rFonts w:ascii="Tahoma" w:hAnsi="Tahoma" w:cs="Tahoma"/>
          <w:color w:val="000000"/>
        </w:rPr>
        <w:t>), η οποία προσδιορίζεται από το αριθμητικό αποτέλεσμα που προκύπτει εάν από το συνολικό ενεργητικό της επιχείρησης αφαιρεθούν οι συνολικές υποχρεώσεις της.</w:t>
      </w:r>
    </w:p>
    <w:p w:rsidR="008D524C" w:rsidRDefault="008D524C" w:rsidP="008D524C">
      <w:pPr>
        <w:pStyle w:val="Web"/>
        <w:spacing w:line="384" w:lineRule="atLeast"/>
        <w:jc w:val="both"/>
        <w:textAlignment w:val="top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lastRenderedPageBreak/>
        <w:t>Για τους έχοντες πτωχευτική ικανότητα ισχύει και πάλι η υποχρέωση ύπαρξης ενεργούς επιχείρησης .</w:t>
      </w:r>
      <w:r>
        <w:rPr>
          <w:rStyle w:val="a6"/>
          <w:color w:val="000000"/>
        </w:rPr>
        <w:t>Συνεπώς, η συγκεκριμένη ρύθμιση δεν αφορά όποιον  έχει διακόψει την επιχειρηματική του δραστηριότητα ή, σε περίπτωση νομικού προσώπου, βρίσκεται σε διαδικασία λύσης και εκκαθάρισης</w:t>
      </w:r>
      <w:r>
        <w:rPr>
          <w:rFonts w:ascii="Tahoma" w:hAnsi="Tahoma" w:cs="Tahoma"/>
          <w:color w:val="000000"/>
        </w:rPr>
        <w:t>, (εκτός εάν υποβληθεί δήλωση έναρξης εργασιών φυσικού προσώπου ή αποφασισθεί από το αρμόδιο όργανο του νομικού προσώπου η αναβίωσή του, πριν από την υποβολή της αίτησης)  </w:t>
      </w:r>
      <w:r>
        <w:rPr>
          <w:rFonts w:ascii="Tahoma" w:hAnsi="Tahoma" w:cs="Tahoma"/>
          <w:b/>
          <w:color w:val="000000"/>
        </w:rPr>
        <w:t>Για τα φυσικά πρόσωπα που αποκτούν από επιχειρηματική δραστηριότητα  όπως οι Δικηγόροι προϋπόθεση είναι η έναρξη εργασιών.</w:t>
      </w:r>
    </w:p>
    <w:p w:rsidR="008D524C" w:rsidRDefault="008D524C" w:rsidP="008D524C">
      <w:pPr>
        <w:pStyle w:val="Web"/>
        <w:spacing w:line="384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u w:val="single"/>
        </w:rPr>
        <w:t>Ρυθμίζονται όμοια με όλες τις σχετικές ρυθμίσεις οι οφειλές που γεννήθηκαν μέχρι 31.12.2016 , η δε σχετική αίτηση μπορεί να υποβληθεί απευθείας στο ΚΕΑΟ  μέχρι 31.12.2018</w:t>
      </w:r>
      <w:r>
        <w:rPr>
          <w:rFonts w:ascii="Tahoma" w:hAnsi="Tahoma" w:cs="Tahoma"/>
          <w:color w:val="000000"/>
        </w:rPr>
        <w:t xml:space="preserve">. Στην αίτηση περιέχονται πλήρη στοιχεία του οφειλέτη και τυχόν </w:t>
      </w:r>
      <w:proofErr w:type="spellStart"/>
      <w:r>
        <w:rPr>
          <w:rFonts w:ascii="Tahoma" w:hAnsi="Tahoma" w:cs="Tahoma"/>
          <w:color w:val="000000"/>
        </w:rPr>
        <w:t>συνοφειλετών</w:t>
      </w:r>
      <w:proofErr w:type="spellEnd"/>
      <w:r>
        <w:rPr>
          <w:rFonts w:ascii="Tahoma" w:hAnsi="Tahoma" w:cs="Tahoma"/>
          <w:color w:val="000000"/>
        </w:rPr>
        <w:t xml:space="preserve"> που υποβάλουν αυτήν από κοινού και μια σειρά δικαιολογητικών που αναφέρονται αναλυτικά στην </w:t>
      </w:r>
      <w:proofErr w:type="spellStart"/>
      <w:r>
        <w:rPr>
          <w:rFonts w:ascii="Tahoma" w:hAnsi="Tahoma" w:cs="Tahoma"/>
          <w:color w:val="000000"/>
        </w:rPr>
        <w:t>ΥΑ,χωρίς</w:t>
      </w:r>
      <w:proofErr w:type="spellEnd"/>
      <w:r>
        <w:rPr>
          <w:rFonts w:ascii="Tahoma" w:hAnsi="Tahoma" w:cs="Tahoma"/>
          <w:color w:val="000000"/>
        </w:rPr>
        <w:t xml:space="preserve"> να αποκλείεται το ΚΕΑΟ να ζητήσει και περαιτέρω έγγραφα ώστε να αξιολογήσει τη βιωσιμότητα του οφειλέτη. Οπωσδήποτε περιέχεται κατάλογος όλων των πιστωτών του οφειλέτη και των οφειλομένων ποσών ανά πιστωτή.</w:t>
      </w:r>
    </w:p>
    <w:p w:rsidR="008D524C" w:rsidRDefault="008D524C" w:rsidP="008D524C">
      <w:pPr>
        <w:pStyle w:val="Web"/>
        <w:spacing w:line="384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Κριτήρια για να διαμορφώσει πρόταση το ΚΕΑΟ είναι </w:t>
      </w:r>
      <w:r>
        <w:rPr>
          <w:rFonts w:ascii="Tahoma" w:hAnsi="Tahoma" w:cs="Tahoma"/>
          <w:color w:val="000000"/>
          <w:u w:val="single"/>
        </w:rPr>
        <w:t>το διαθέσιμο εισόδημα και η αξία ρευστοποίησης των περιουσιακών στοιχείων του οφειλέτη</w:t>
      </w:r>
      <w:r>
        <w:rPr>
          <w:rFonts w:ascii="Tahoma" w:hAnsi="Tahoma" w:cs="Tahoma"/>
          <w:color w:val="000000"/>
        </w:rPr>
        <w:t>. Ανά κατηγορία οφειλετών και ανά είδος περιουσίας προβλέπονται διαφορετικά  στοιχεία για τον προσδιορισμό του εισοδήματος και της αξίας των περιουσιακών στοιχείων.</w:t>
      </w:r>
    </w:p>
    <w:p w:rsidR="008D524C" w:rsidRDefault="008D524C" w:rsidP="008D524C">
      <w:pPr>
        <w:pStyle w:val="Web"/>
        <w:spacing w:line="384" w:lineRule="atLeast"/>
        <w:jc w:val="both"/>
        <w:textAlignment w:val="top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Για οφειλές από 20.000€ ως 50.000€,εκτός από την μια κερδοφόρα </w:t>
      </w:r>
      <w:proofErr w:type="spellStart"/>
      <w:r>
        <w:rPr>
          <w:rFonts w:ascii="Tahoma" w:hAnsi="Tahoma" w:cs="Tahoma"/>
          <w:b/>
          <w:color w:val="000000"/>
        </w:rPr>
        <w:t>χρήση,θα</w:t>
      </w:r>
      <w:proofErr w:type="spellEnd"/>
      <w:r>
        <w:rPr>
          <w:rFonts w:ascii="Tahoma" w:hAnsi="Tahoma" w:cs="Tahoma"/>
          <w:b/>
          <w:color w:val="000000"/>
        </w:rPr>
        <w:t xml:space="preserve"> πρέπει και ο λόγος του χρέους, αφού αφαιρεθούν οι προς διαγραφή προσαυξήσεις και </w:t>
      </w:r>
      <w:proofErr w:type="spellStart"/>
      <w:r>
        <w:rPr>
          <w:rFonts w:ascii="Tahoma" w:hAnsi="Tahoma" w:cs="Tahoma"/>
          <w:b/>
          <w:color w:val="000000"/>
        </w:rPr>
        <w:t>τόκοι,προς</w:t>
      </w:r>
      <w:proofErr w:type="spellEnd"/>
      <w:r>
        <w:rPr>
          <w:rFonts w:ascii="Tahoma" w:hAnsi="Tahoma" w:cs="Tahoma"/>
          <w:b/>
          <w:color w:val="000000"/>
        </w:rPr>
        <w:t xml:space="preserve"> το εισόδημα να είναι μικρότερος ή ίσος του 8,δηλαδή   το καθαρό αποτέλεσμα της επιχείρησης δεν μπορεί να είναι μικρότερο από το 12,5% των ρυθμιζόμενων οφειλών της.</w:t>
      </w:r>
    </w:p>
    <w:p w:rsidR="008D524C" w:rsidRDefault="008D524C" w:rsidP="008D524C">
      <w:pPr>
        <w:pStyle w:val="Web"/>
        <w:spacing w:line="384" w:lineRule="atLeast"/>
        <w:jc w:val="both"/>
        <w:textAlignment w:val="top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Για τις περιπτώσεις που  η προς ρύθμιση οφειλή προς το ΚΕΑΟ υπερβαίνει τις 20.000€ αποκλείεται η ρύθμιση εφ’ όσον η συνολική αξία των περιουσιακών στοιχείων του οφειλέτη υπερβαίνει το 25πλάσιο αυτής.</w:t>
      </w:r>
    </w:p>
    <w:p w:rsidR="008D524C" w:rsidRDefault="008D524C" w:rsidP="008D524C">
      <w:pPr>
        <w:pStyle w:val="Web"/>
        <w:spacing w:line="384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Για οφειλές ως 3000€ ο μέγιστος αριθμός δόσεων είναι 36 ενώ για οφειλές από 3000€ -50000€ ως 120. Το ελάχιστο ποσό δόσης είναι 50€.</w:t>
      </w:r>
    </w:p>
    <w:p w:rsidR="008D524C" w:rsidRDefault="008D524C" w:rsidP="008D524C">
      <w:pPr>
        <w:pStyle w:val="Web"/>
        <w:spacing w:line="384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Για οφειλές 3000-50000€ προβλέπεται διαγραφή  του 85% των προσαυξήσεων και των τόκων εκπρόθεσμης καταβολής.</w:t>
      </w:r>
    </w:p>
    <w:p w:rsidR="008D524C" w:rsidRDefault="008D524C" w:rsidP="008D524C">
      <w:pPr>
        <w:pStyle w:val="Web"/>
        <w:spacing w:line="384" w:lineRule="atLeast"/>
        <w:jc w:val="both"/>
        <w:textAlignment w:val="top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  <w:highlight w:val="yellow"/>
        </w:rPr>
        <w:lastRenderedPageBreak/>
        <w:t>Η σχετική ηλεκτρονική πλατφόρμα αναμένεται να τεθεί σε λειτουργία αρχές Φεβρουαρίου 2018.</w:t>
      </w:r>
    </w:p>
    <w:p w:rsidR="008D524C" w:rsidRDefault="008D524C" w:rsidP="008D524C">
      <w:pPr>
        <w:rPr>
          <w:rFonts w:asciiTheme="minorHAnsi" w:hAnsiTheme="minorHAnsi" w:cstheme="minorBidi"/>
        </w:rPr>
      </w:pPr>
    </w:p>
    <w:p w:rsidR="008D524C" w:rsidRPr="00A44FE8" w:rsidRDefault="008D524C" w:rsidP="00A44F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sectPr w:rsidR="008D524C" w:rsidRPr="00A44FE8" w:rsidSect="00F424A6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E26"/>
    <w:multiLevelType w:val="hybridMultilevel"/>
    <w:tmpl w:val="40B4B350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B1E47"/>
    <w:multiLevelType w:val="hybridMultilevel"/>
    <w:tmpl w:val="82F4324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8541E"/>
    <w:multiLevelType w:val="hybridMultilevel"/>
    <w:tmpl w:val="7A96607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134B9"/>
    <w:rsid w:val="00071029"/>
    <w:rsid w:val="0008346B"/>
    <w:rsid w:val="00086A50"/>
    <w:rsid w:val="000A28B9"/>
    <w:rsid w:val="000D27A5"/>
    <w:rsid w:val="000E24F1"/>
    <w:rsid w:val="000E3EC6"/>
    <w:rsid w:val="000F57A9"/>
    <w:rsid w:val="00166082"/>
    <w:rsid w:val="0018399F"/>
    <w:rsid w:val="001B1AEE"/>
    <w:rsid w:val="002A3135"/>
    <w:rsid w:val="003134B9"/>
    <w:rsid w:val="0033251C"/>
    <w:rsid w:val="003B4E17"/>
    <w:rsid w:val="003F7A6D"/>
    <w:rsid w:val="0054694E"/>
    <w:rsid w:val="0059039E"/>
    <w:rsid w:val="00603444"/>
    <w:rsid w:val="006941E9"/>
    <w:rsid w:val="006E2399"/>
    <w:rsid w:val="007118E6"/>
    <w:rsid w:val="007857C2"/>
    <w:rsid w:val="007925DA"/>
    <w:rsid w:val="0084032C"/>
    <w:rsid w:val="00892724"/>
    <w:rsid w:val="008D524C"/>
    <w:rsid w:val="009327A0"/>
    <w:rsid w:val="009879FE"/>
    <w:rsid w:val="00A032BF"/>
    <w:rsid w:val="00A44FE8"/>
    <w:rsid w:val="00B21833"/>
    <w:rsid w:val="00B301B2"/>
    <w:rsid w:val="00B649BA"/>
    <w:rsid w:val="00B85E22"/>
    <w:rsid w:val="00B916CC"/>
    <w:rsid w:val="00C07949"/>
    <w:rsid w:val="00D45846"/>
    <w:rsid w:val="00D91ACA"/>
    <w:rsid w:val="00E906D8"/>
    <w:rsid w:val="00EC392A"/>
    <w:rsid w:val="00EF3D39"/>
    <w:rsid w:val="00F424A6"/>
    <w:rsid w:val="00F51952"/>
    <w:rsid w:val="00FA1A93"/>
    <w:rsid w:val="00FF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1C"/>
    <w:pPr>
      <w:spacing w:after="60" w:line="360" w:lineRule="auto"/>
      <w:jc w:val="both"/>
    </w:pPr>
    <w:rPr>
      <w:rFonts w:ascii="Arial" w:eastAsia="Times New Roman" w:hAnsi="Arial" w:cs="Times New Roman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251C"/>
    <w:rPr>
      <w:rFonts w:ascii="Tahoma" w:eastAsia="Times New Roman" w:hAnsi="Tahoma" w:cs="Tahoma"/>
      <w:sz w:val="16"/>
      <w:szCs w:val="16"/>
      <w:lang w:val="el-GR" w:eastAsia="el-GR"/>
    </w:rPr>
  </w:style>
  <w:style w:type="paragraph" w:customStyle="1" w:styleId="Default">
    <w:name w:val="Default"/>
    <w:rsid w:val="001B1A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4">
    <w:name w:val="Title"/>
    <w:basedOn w:val="a"/>
    <w:link w:val="Char0"/>
    <w:qFormat/>
    <w:rsid w:val="000D27A5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Char0">
    <w:name w:val="Τίτλος Char"/>
    <w:basedOn w:val="a0"/>
    <w:link w:val="a4"/>
    <w:rsid w:val="000D27A5"/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styleId="a5">
    <w:name w:val="List Paragraph"/>
    <w:basedOn w:val="a"/>
    <w:uiPriority w:val="34"/>
    <w:qFormat/>
    <w:rsid w:val="0060344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D524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</w:rPr>
  </w:style>
  <w:style w:type="character" w:styleId="a6">
    <w:name w:val="Strong"/>
    <w:basedOn w:val="a0"/>
    <w:uiPriority w:val="22"/>
    <w:qFormat/>
    <w:rsid w:val="008D5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35;&#961;&#953;&#963;&#964;&#943;&#957;&#945;\AppData\Roaming\Microsoft\&#928;&#961;&#972;&#964;&#965;&#960;&#945;\&#916;&#931;&#920;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ΔΣΘ1</Template>
  <TotalTime>5</TotalTime>
  <Pages>3</Pages>
  <Words>706</Words>
  <Characters>3818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Χριστίνα</cp:lastModifiedBy>
  <cp:revision>2</cp:revision>
  <cp:lastPrinted>2015-06-12T10:47:00Z</cp:lastPrinted>
  <dcterms:created xsi:type="dcterms:W3CDTF">2018-01-19T11:07:00Z</dcterms:created>
  <dcterms:modified xsi:type="dcterms:W3CDTF">2018-01-19T11:07:00Z</dcterms:modified>
</cp:coreProperties>
</file>